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26" w:rsidRPr="005630A1" w:rsidRDefault="00660426" w:rsidP="00660426">
      <w:pPr>
        <w:pStyle w:val="Heading2"/>
        <w:kinsoku w:val="0"/>
        <w:overflowPunct w:val="0"/>
        <w:spacing w:before="1"/>
        <w:ind w:left="0" w:firstLine="0"/>
        <w:rPr>
          <w:rFonts w:ascii="Arial" w:hAnsi="Arial" w:cs="Arial"/>
          <w:color w:val="53257D"/>
        </w:rPr>
      </w:pPr>
      <w:bookmarkStart w:id="0" w:name="_Toc516235514"/>
      <w:r>
        <w:rPr>
          <w:rFonts w:ascii="Arial" w:hAnsi="Arial" w:cs="Arial"/>
          <w:color w:val="53257D"/>
        </w:rPr>
        <w:t>Genitourinary - Bladder</w:t>
      </w:r>
      <w:r w:rsidRPr="005630A1">
        <w:rPr>
          <w:rFonts w:ascii="Arial" w:hAnsi="Arial" w:cs="Arial"/>
          <w:color w:val="53257D"/>
        </w:rPr>
        <w:t>: Patient management</w:t>
      </w:r>
      <w:bookmarkEnd w:id="0"/>
    </w:p>
    <w:p w:rsidR="00660426" w:rsidRPr="005630A1" w:rsidRDefault="00660426" w:rsidP="00660426">
      <w:pPr>
        <w:pStyle w:val="BodyText"/>
        <w:rPr>
          <w:rFonts w:ascii="Arial" w:hAnsi="Arial" w:cs="Arial"/>
        </w:rPr>
      </w:pPr>
    </w:p>
    <w:p w:rsidR="00660426" w:rsidRPr="005630A1" w:rsidRDefault="00660426" w:rsidP="00660426">
      <w:pPr>
        <w:pStyle w:val="BodyText"/>
        <w:rPr>
          <w:rFonts w:ascii="Arial" w:hAnsi="Arial" w:cs="Arial"/>
          <w:b/>
        </w:rPr>
      </w:pPr>
      <w:r w:rsidRPr="005630A1">
        <w:rPr>
          <w:rFonts w:ascii="Arial" w:hAnsi="Arial" w:cs="Arial"/>
          <w:b/>
        </w:rPr>
        <w:t>Key questions</w:t>
      </w:r>
    </w:p>
    <w:p w:rsidR="00660426" w:rsidRPr="005630A1" w:rsidRDefault="00660426" w:rsidP="00660426">
      <w:pPr>
        <w:pStyle w:val="BodyText"/>
        <w:kinsoku w:val="0"/>
        <w:overflowPunct w:val="0"/>
        <w:spacing w:before="3"/>
        <w:rPr>
          <w:rFonts w:ascii="Arial" w:hAnsi="Arial" w:cs="Arial"/>
          <w:bCs/>
        </w:rPr>
      </w:pPr>
    </w:p>
    <w:p w:rsidR="00660426" w:rsidRPr="005630A1" w:rsidRDefault="00660426" w:rsidP="00660426">
      <w:pPr>
        <w:pStyle w:val="BodyText"/>
        <w:numPr>
          <w:ilvl w:val="0"/>
          <w:numId w:val="1"/>
        </w:numPr>
        <w:kinsoku w:val="0"/>
        <w:overflowPunct w:val="0"/>
        <w:spacing w:before="3"/>
        <w:ind w:left="360"/>
        <w:rPr>
          <w:rFonts w:ascii="Arial" w:hAnsi="Arial" w:cs="Arial"/>
          <w:bCs/>
        </w:rPr>
      </w:pPr>
      <w:r w:rsidRPr="005630A1">
        <w:rPr>
          <w:rFonts w:ascii="Arial" w:hAnsi="Arial" w:cs="Arial"/>
          <w:b/>
          <w:bCs/>
        </w:rPr>
        <w:t>KQ:</w:t>
      </w:r>
      <w:r w:rsidRPr="005630A1">
        <w:rPr>
          <w:rFonts w:ascii="Arial" w:hAnsi="Arial" w:cs="Arial"/>
          <w:bCs/>
        </w:rPr>
        <w:t xml:space="preserve"> Patients treated with a curative course of radiation therapy for bladder cancer often also receive concurrent chemotherapy with cisplatin or with mitomycin and fluorouracil. These act as a radiosensitiser. How might your care plan for a patient on concurrent chemotherapy differ from a patient not receiving concurrently chemotherapy?</w:t>
      </w:r>
    </w:p>
    <w:p w:rsidR="00660426" w:rsidRPr="005630A1" w:rsidRDefault="00660426" w:rsidP="00660426">
      <w:pPr>
        <w:pStyle w:val="BodyText"/>
        <w:kinsoku w:val="0"/>
        <w:overflowPunct w:val="0"/>
        <w:spacing w:before="3"/>
        <w:ind w:firstLine="360"/>
        <w:rPr>
          <w:rFonts w:ascii="Arial" w:hAnsi="Arial" w:cs="Arial"/>
          <w:bCs/>
        </w:rPr>
      </w:pPr>
      <w:r w:rsidRPr="005630A1">
        <w:rPr>
          <w:rFonts w:ascii="Arial" w:hAnsi="Arial" w:cs="Arial"/>
          <w:b/>
          <w:bCs/>
        </w:rPr>
        <w:t>Expected response:</w:t>
      </w:r>
      <w:r w:rsidRPr="005630A1">
        <w:rPr>
          <w:rFonts w:ascii="Arial" w:hAnsi="Arial" w:cs="Arial"/>
          <w:bCs/>
        </w:rPr>
        <w:t xml:space="preserve"> </w:t>
      </w:r>
    </w:p>
    <w:p w:rsidR="00660426" w:rsidRPr="005630A1" w:rsidRDefault="00660426" w:rsidP="00660426">
      <w:pPr>
        <w:pStyle w:val="BodyText"/>
        <w:kinsoku w:val="0"/>
        <w:overflowPunct w:val="0"/>
        <w:spacing w:before="3"/>
        <w:ind w:left="360"/>
        <w:rPr>
          <w:rFonts w:ascii="Arial" w:hAnsi="Arial" w:cs="Arial"/>
          <w:bCs/>
        </w:rPr>
      </w:pPr>
      <w:r w:rsidRPr="005630A1">
        <w:rPr>
          <w:rFonts w:ascii="Arial" w:hAnsi="Arial" w:cs="Arial"/>
          <w:bCs/>
        </w:rPr>
        <w:t>Consideration of potential side effects of chemotherapy in care plan. Describes symptom management of:</w:t>
      </w:r>
    </w:p>
    <w:p w:rsidR="00660426" w:rsidRPr="005630A1" w:rsidRDefault="00660426" w:rsidP="00660426">
      <w:pPr>
        <w:pStyle w:val="BodyText"/>
        <w:numPr>
          <w:ilvl w:val="2"/>
          <w:numId w:val="3"/>
        </w:numPr>
        <w:kinsoku w:val="0"/>
        <w:overflowPunct w:val="0"/>
        <w:spacing w:before="3"/>
        <w:ind w:left="927"/>
        <w:rPr>
          <w:rFonts w:ascii="Arial" w:hAnsi="Arial" w:cs="Arial"/>
          <w:bCs/>
        </w:rPr>
      </w:pPr>
      <w:r w:rsidRPr="005630A1">
        <w:rPr>
          <w:rFonts w:ascii="Arial" w:hAnsi="Arial" w:cs="Arial"/>
          <w:bCs/>
        </w:rPr>
        <w:t>Nausea and vomiting – dietary recommendations, patient education and awareness of symptoms.</w:t>
      </w:r>
    </w:p>
    <w:p w:rsidR="00660426" w:rsidRPr="005630A1" w:rsidRDefault="00660426" w:rsidP="00660426">
      <w:pPr>
        <w:pStyle w:val="BodyText"/>
        <w:numPr>
          <w:ilvl w:val="2"/>
          <w:numId w:val="3"/>
        </w:numPr>
        <w:kinsoku w:val="0"/>
        <w:overflowPunct w:val="0"/>
        <w:spacing w:before="3"/>
        <w:ind w:left="927"/>
        <w:rPr>
          <w:rFonts w:ascii="Arial" w:hAnsi="Arial" w:cs="Arial"/>
          <w:bCs/>
        </w:rPr>
      </w:pPr>
      <w:r w:rsidRPr="005630A1">
        <w:rPr>
          <w:rFonts w:ascii="Arial" w:hAnsi="Arial" w:cs="Arial"/>
          <w:bCs/>
        </w:rPr>
        <w:t>Oral mucositis – ensure patient education and awareness of symptoms, regular mouthwashes, and mouth care recommendations.</w:t>
      </w:r>
    </w:p>
    <w:p w:rsidR="00660426" w:rsidRDefault="00660426" w:rsidP="00660426">
      <w:pPr>
        <w:pStyle w:val="BodyText"/>
        <w:numPr>
          <w:ilvl w:val="2"/>
          <w:numId w:val="3"/>
        </w:numPr>
        <w:kinsoku w:val="0"/>
        <w:overflowPunct w:val="0"/>
        <w:spacing w:before="3"/>
        <w:ind w:left="927"/>
        <w:rPr>
          <w:rFonts w:ascii="Arial" w:hAnsi="Arial" w:cs="Arial"/>
          <w:bCs/>
        </w:rPr>
      </w:pPr>
      <w:r w:rsidRPr="005630A1">
        <w:rPr>
          <w:rFonts w:ascii="Arial" w:hAnsi="Arial" w:cs="Arial"/>
          <w:bCs/>
        </w:rPr>
        <w:t>Hand and foot syndrome – regu</w:t>
      </w:r>
      <w:r w:rsidR="00607931">
        <w:rPr>
          <w:rFonts w:ascii="Arial" w:hAnsi="Arial" w:cs="Arial"/>
          <w:bCs/>
        </w:rPr>
        <w:t>lar moisturising</w:t>
      </w:r>
      <w:r w:rsidRPr="005630A1">
        <w:rPr>
          <w:rFonts w:ascii="Arial" w:hAnsi="Arial" w:cs="Arial"/>
          <w:bCs/>
        </w:rPr>
        <w:t xml:space="preserve"> of palms of hands and soles of feet, ensure patient education and awareness of symptoms.</w:t>
      </w:r>
    </w:p>
    <w:p w:rsidR="00660426" w:rsidRDefault="00660426" w:rsidP="00660426">
      <w:pPr>
        <w:pStyle w:val="BodyText"/>
        <w:numPr>
          <w:ilvl w:val="2"/>
          <w:numId w:val="3"/>
        </w:numPr>
        <w:kinsoku w:val="0"/>
        <w:overflowPunct w:val="0"/>
        <w:spacing w:before="3"/>
        <w:ind w:left="927"/>
        <w:rPr>
          <w:rFonts w:ascii="Arial" w:hAnsi="Arial" w:cs="Arial"/>
          <w:bCs/>
        </w:rPr>
      </w:pPr>
      <w:r>
        <w:rPr>
          <w:rFonts w:ascii="Arial" w:hAnsi="Arial" w:cs="Arial"/>
          <w:bCs/>
        </w:rPr>
        <w:t>Chemotherapy induced diarrhoea – educate patient about likelihood of experiencing diarrhoea, signs and symptoms and to report these. Consider probiotics if part of departmental recommendations. Provide dietary recommendations.</w:t>
      </w:r>
    </w:p>
    <w:p w:rsidR="00660426" w:rsidRDefault="00660426" w:rsidP="00660426">
      <w:pPr>
        <w:pStyle w:val="BodyText"/>
        <w:numPr>
          <w:ilvl w:val="2"/>
          <w:numId w:val="3"/>
        </w:numPr>
        <w:kinsoku w:val="0"/>
        <w:overflowPunct w:val="0"/>
        <w:spacing w:before="3"/>
        <w:ind w:left="927"/>
        <w:rPr>
          <w:rFonts w:ascii="Arial" w:hAnsi="Arial" w:cs="Arial"/>
          <w:bCs/>
        </w:rPr>
      </w:pPr>
      <w:r>
        <w:rPr>
          <w:rFonts w:ascii="Arial" w:hAnsi="Arial" w:cs="Arial"/>
          <w:bCs/>
        </w:rPr>
        <w:t>Anorexia – provide dietary recommendations and provide patient education about importance of reporting symptoms.</w:t>
      </w:r>
    </w:p>
    <w:p w:rsidR="00660426" w:rsidRPr="005630A1" w:rsidRDefault="00660426" w:rsidP="00660426">
      <w:pPr>
        <w:pStyle w:val="BodyText"/>
        <w:kinsoku w:val="0"/>
        <w:overflowPunct w:val="0"/>
        <w:spacing w:before="3"/>
        <w:rPr>
          <w:rFonts w:ascii="Arial" w:hAnsi="Arial" w:cs="Arial"/>
          <w:bCs/>
        </w:rPr>
      </w:pPr>
    </w:p>
    <w:p w:rsidR="00660426" w:rsidRPr="005630A1" w:rsidRDefault="00660426" w:rsidP="00660426">
      <w:pPr>
        <w:pStyle w:val="BodyText"/>
        <w:kinsoku w:val="0"/>
        <w:overflowPunct w:val="0"/>
        <w:spacing w:before="3"/>
        <w:rPr>
          <w:rFonts w:ascii="Arial" w:hAnsi="Arial" w:cs="Arial"/>
          <w:bCs/>
        </w:rPr>
      </w:pPr>
    </w:p>
    <w:p w:rsidR="00660426" w:rsidRPr="005630A1" w:rsidRDefault="00660426" w:rsidP="00660426">
      <w:pPr>
        <w:pStyle w:val="BodyText"/>
        <w:kinsoku w:val="0"/>
        <w:overflowPunct w:val="0"/>
        <w:spacing w:before="3"/>
        <w:rPr>
          <w:rFonts w:ascii="Arial" w:hAnsi="Arial" w:cs="Arial"/>
          <w:b/>
          <w:bCs/>
        </w:rPr>
      </w:pPr>
      <w:r w:rsidRPr="005630A1">
        <w:rPr>
          <w:rFonts w:ascii="Arial" w:hAnsi="Arial" w:cs="Arial"/>
          <w:b/>
          <w:bCs/>
        </w:rPr>
        <w:t>Scenario</w:t>
      </w:r>
    </w:p>
    <w:p w:rsidR="00660426" w:rsidRPr="005630A1" w:rsidRDefault="00660426" w:rsidP="00660426">
      <w:pPr>
        <w:pStyle w:val="BodyText"/>
        <w:kinsoku w:val="0"/>
        <w:overflowPunct w:val="0"/>
        <w:spacing w:before="3"/>
        <w:rPr>
          <w:rFonts w:ascii="Arial" w:hAnsi="Arial" w:cs="Arial"/>
          <w:b/>
          <w:bCs/>
        </w:rPr>
      </w:pPr>
    </w:p>
    <w:p w:rsidR="00660426" w:rsidRPr="005630A1" w:rsidRDefault="00660426" w:rsidP="00660426">
      <w:pPr>
        <w:pStyle w:val="BodyText"/>
        <w:numPr>
          <w:ilvl w:val="0"/>
          <w:numId w:val="2"/>
        </w:numPr>
        <w:ind w:left="360"/>
        <w:rPr>
          <w:rFonts w:ascii="Arial" w:hAnsi="Arial" w:cs="Arial"/>
          <w:b/>
        </w:rPr>
      </w:pPr>
      <w:r w:rsidRPr="005630A1">
        <w:rPr>
          <w:rFonts w:ascii="Arial" w:hAnsi="Arial" w:cs="Arial"/>
          <w:b/>
        </w:rPr>
        <w:t>Scenario:</w:t>
      </w:r>
      <w:r w:rsidRPr="005630A1">
        <w:rPr>
          <w:rFonts w:ascii="Arial" w:hAnsi="Arial" w:cs="Arial"/>
        </w:rPr>
        <w:t xml:space="preserve"> You receive a call from a treatment machine. The staff tell you that one of their patients who is undergoing radiotherapy to the bladder is suffering burning upon urination and ask if you are able to see the patient and offer some advice. What action would you take? What advice would you give? </w:t>
      </w:r>
    </w:p>
    <w:p w:rsidR="00660426" w:rsidRPr="005630A1" w:rsidRDefault="00660426" w:rsidP="00660426">
      <w:pPr>
        <w:pStyle w:val="BodyText"/>
        <w:ind w:firstLine="360"/>
        <w:rPr>
          <w:rFonts w:ascii="Arial" w:hAnsi="Arial" w:cs="Arial"/>
        </w:rPr>
      </w:pPr>
      <w:r w:rsidRPr="005630A1">
        <w:rPr>
          <w:rFonts w:ascii="Arial" w:hAnsi="Arial" w:cs="Arial"/>
          <w:b/>
        </w:rPr>
        <w:t>Expected response:</w:t>
      </w:r>
      <w:r w:rsidRPr="005630A1">
        <w:rPr>
          <w:rFonts w:ascii="Arial" w:hAnsi="Arial" w:cs="Arial"/>
        </w:rPr>
        <w:t xml:space="preserve"> </w:t>
      </w:r>
    </w:p>
    <w:p w:rsidR="00660426" w:rsidRPr="005630A1" w:rsidRDefault="00660426" w:rsidP="00660426">
      <w:pPr>
        <w:pStyle w:val="BodyText"/>
        <w:numPr>
          <w:ilvl w:val="0"/>
          <w:numId w:val="4"/>
        </w:numPr>
        <w:ind w:left="927"/>
        <w:rPr>
          <w:rFonts w:ascii="Arial" w:hAnsi="Arial" w:cs="Arial"/>
        </w:rPr>
      </w:pPr>
      <w:r w:rsidRPr="005630A1">
        <w:rPr>
          <w:rFonts w:ascii="Arial" w:hAnsi="Arial" w:cs="Arial"/>
        </w:rPr>
        <w:t xml:space="preserve">Perform a thorough assessment on the patient as there has been a change in health status. The patient may have other side effects developing which they have not yet mentioned to the treatment team. </w:t>
      </w:r>
    </w:p>
    <w:p w:rsidR="00660426" w:rsidRPr="005630A1" w:rsidRDefault="00660426" w:rsidP="00660426">
      <w:pPr>
        <w:pStyle w:val="BodyText"/>
        <w:numPr>
          <w:ilvl w:val="0"/>
          <w:numId w:val="4"/>
        </w:numPr>
        <w:ind w:left="927"/>
        <w:rPr>
          <w:rFonts w:ascii="Arial" w:hAnsi="Arial" w:cs="Arial"/>
        </w:rPr>
      </w:pPr>
      <w:r w:rsidRPr="005630A1">
        <w:rPr>
          <w:rFonts w:ascii="Arial" w:hAnsi="Arial" w:cs="Arial"/>
        </w:rPr>
        <w:t>Ask follow up questions to determine the grade of urinary side effect experienced. E.g. are urinating more often? Do you have an increased urge to urinate? What colour is your urine? Have you noticed any blood in your urine?</w:t>
      </w:r>
    </w:p>
    <w:p w:rsidR="00660426" w:rsidRPr="005630A1" w:rsidRDefault="00660426" w:rsidP="00660426">
      <w:pPr>
        <w:pStyle w:val="BodyText"/>
        <w:numPr>
          <w:ilvl w:val="0"/>
          <w:numId w:val="4"/>
        </w:numPr>
        <w:ind w:left="927"/>
        <w:rPr>
          <w:rFonts w:ascii="Arial" w:hAnsi="Arial" w:cs="Arial"/>
        </w:rPr>
      </w:pPr>
      <w:r w:rsidRPr="005630A1">
        <w:rPr>
          <w:rFonts w:ascii="Arial" w:hAnsi="Arial" w:cs="Arial"/>
        </w:rPr>
        <w:t>Offer appropriate management advice depending upon the grade. Management may include suggesting a urinary alkal</w:t>
      </w:r>
      <w:r w:rsidR="00607931">
        <w:rPr>
          <w:rFonts w:ascii="Arial" w:hAnsi="Arial" w:cs="Arial"/>
        </w:rPr>
        <w:t>in</w:t>
      </w:r>
      <w:r w:rsidRPr="005630A1">
        <w:rPr>
          <w:rFonts w:ascii="Arial" w:hAnsi="Arial" w:cs="Arial"/>
        </w:rPr>
        <w:t>iser</w:t>
      </w:r>
      <w:r>
        <w:rPr>
          <w:rFonts w:ascii="Arial" w:hAnsi="Arial" w:cs="Arial"/>
        </w:rPr>
        <w:t xml:space="preserve"> such as Ural</w:t>
      </w:r>
      <w:r w:rsidRPr="005630A1">
        <w:rPr>
          <w:rFonts w:ascii="Arial" w:hAnsi="Arial" w:cs="Arial"/>
        </w:rPr>
        <w:t xml:space="preserve">, maintaining fluid intake and </w:t>
      </w:r>
      <w:r>
        <w:rPr>
          <w:rFonts w:ascii="Arial" w:hAnsi="Arial" w:cs="Arial"/>
        </w:rPr>
        <w:t>perform urinalysis</w:t>
      </w:r>
      <w:r w:rsidRPr="005630A1">
        <w:rPr>
          <w:rFonts w:ascii="Arial" w:hAnsi="Arial" w:cs="Arial"/>
        </w:rPr>
        <w:t xml:space="preserve"> to test for signs of infection. </w:t>
      </w:r>
      <w:bookmarkStart w:id="1" w:name="_GoBack"/>
      <w:bookmarkEnd w:id="1"/>
    </w:p>
    <w:p w:rsidR="00660426" w:rsidRPr="005630A1" w:rsidRDefault="00660426" w:rsidP="00660426">
      <w:pPr>
        <w:pStyle w:val="BodyText"/>
        <w:numPr>
          <w:ilvl w:val="0"/>
          <w:numId w:val="4"/>
        </w:numPr>
        <w:ind w:left="927"/>
        <w:rPr>
          <w:rFonts w:ascii="Arial" w:hAnsi="Arial" w:cs="Arial"/>
        </w:rPr>
      </w:pPr>
      <w:r w:rsidRPr="005630A1">
        <w:rPr>
          <w:rFonts w:ascii="Arial" w:hAnsi="Arial" w:cs="Arial"/>
        </w:rPr>
        <w:t>Document assessment and management advice in patient notes.</w:t>
      </w:r>
    </w:p>
    <w:p w:rsidR="00660426" w:rsidRPr="005630A1" w:rsidRDefault="00660426" w:rsidP="00660426">
      <w:pPr>
        <w:pStyle w:val="BodyText"/>
        <w:ind w:left="1596"/>
        <w:rPr>
          <w:rFonts w:ascii="Arial" w:hAnsi="Arial" w:cs="Arial"/>
        </w:rPr>
      </w:pPr>
    </w:p>
    <w:p w:rsidR="00660426" w:rsidRPr="005630A1" w:rsidRDefault="00660426" w:rsidP="00660426">
      <w:pPr>
        <w:pStyle w:val="BodyText"/>
        <w:numPr>
          <w:ilvl w:val="0"/>
          <w:numId w:val="2"/>
        </w:numPr>
        <w:ind w:left="360"/>
        <w:rPr>
          <w:rFonts w:ascii="Arial" w:hAnsi="Arial" w:cs="Arial"/>
          <w:b/>
        </w:rPr>
      </w:pPr>
      <w:r w:rsidRPr="005630A1">
        <w:rPr>
          <w:rFonts w:ascii="Arial" w:hAnsi="Arial" w:cs="Arial"/>
          <w:b/>
        </w:rPr>
        <w:t>Scenario:</w:t>
      </w:r>
      <w:r w:rsidRPr="005630A1">
        <w:rPr>
          <w:rFonts w:ascii="Arial" w:hAnsi="Arial" w:cs="Arial"/>
        </w:rPr>
        <w:t xml:space="preserve"> You receive a call from a treatment machine. The staff tell you that one of their patients who is undergoing radiotherapy to their bladder has had an increasing post void volume over the previous few days as evident on cone beam CT. The bladder is consistently larger than it was at simulation and may affect the accuracy of the treatment plan. The patient reports feeling that they have a full bladder, but unable to urinate large volumes. The patient has reduced strength of stream and experiences some pain upon urination. What action would you take?</w:t>
      </w:r>
    </w:p>
    <w:p w:rsidR="00660426" w:rsidRDefault="00660426" w:rsidP="00660426">
      <w:pPr>
        <w:pStyle w:val="BodyText"/>
        <w:ind w:firstLine="360"/>
        <w:rPr>
          <w:rFonts w:ascii="Arial" w:hAnsi="Arial" w:cs="Arial"/>
        </w:rPr>
      </w:pPr>
      <w:r w:rsidRPr="005630A1">
        <w:rPr>
          <w:rFonts w:ascii="Arial" w:hAnsi="Arial" w:cs="Arial"/>
          <w:b/>
        </w:rPr>
        <w:t>Expected response:</w:t>
      </w:r>
      <w:r w:rsidRPr="005630A1">
        <w:rPr>
          <w:rFonts w:ascii="Arial" w:hAnsi="Arial" w:cs="Arial"/>
        </w:rPr>
        <w:t xml:space="preserve"> </w:t>
      </w:r>
    </w:p>
    <w:p w:rsidR="00660426" w:rsidRDefault="00660426" w:rsidP="00660426">
      <w:pPr>
        <w:pStyle w:val="BodyText"/>
        <w:numPr>
          <w:ilvl w:val="0"/>
          <w:numId w:val="5"/>
        </w:numPr>
        <w:ind w:left="927"/>
        <w:rPr>
          <w:rFonts w:ascii="Arial" w:hAnsi="Arial" w:cs="Arial"/>
        </w:rPr>
      </w:pPr>
      <w:r w:rsidRPr="005630A1">
        <w:rPr>
          <w:rFonts w:ascii="Arial" w:hAnsi="Arial" w:cs="Arial"/>
        </w:rPr>
        <w:t>The patient may be in urinary retention and may require catheterisation.</w:t>
      </w:r>
    </w:p>
    <w:p w:rsidR="00660426" w:rsidRDefault="00660426" w:rsidP="00660426">
      <w:pPr>
        <w:pStyle w:val="BodyText"/>
        <w:numPr>
          <w:ilvl w:val="0"/>
          <w:numId w:val="5"/>
        </w:numPr>
        <w:ind w:left="927"/>
        <w:rPr>
          <w:rFonts w:ascii="Arial" w:hAnsi="Arial" w:cs="Arial"/>
        </w:rPr>
      </w:pPr>
      <w:r w:rsidRPr="005630A1">
        <w:rPr>
          <w:rFonts w:ascii="Arial" w:hAnsi="Arial" w:cs="Arial"/>
        </w:rPr>
        <w:t xml:space="preserve"> Perform an immediate assessment – may include questions to determine severity – e.g. patients experience of lower abdominal pain. </w:t>
      </w:r>
      <w:r>
        <w:rPr>
          <w:rFonts w:ascii="Arial" w:hAnsi="Arial" w:cs="Arial"/>
        </w:rPr>
        <w:t>Consider performing a bladder scan pre and post void</w:t>
      </w:r>
    </w:p>
    <w:p w:rsidR="00660426" w:rsidRDefault="00660426" w:rsidP="00660426">
      <w:pPr>
        <w:pStyle w:val="BodyText"/>
        <w:numPr>
          <w:ilvl w:val="0"/>
          <w:numId w:val="5"/>
        </w:numPr>
        <w:ind w:left="927"/>
        <w:rPr>
          <w:rFonts w:ascii="Arial" w:hAnsi="Arial" w:cs="Arial"/>
        </w:rPr>
      </w:pPr>
      <w:r w:rsidRPr="005630A1">
        <w:rPr>
          <w:rFonts w:ascii="Arial" w:hAnsi="Arial" w:cs="Arial"/>
        </w:rPr>
        <w:t xml:space="preserve">Organise prompt medical review. </w:t>
      </w:r>
    </w:p>
    <w:p w:rsidR="00660426" w:rsidRDefault="00660426" w:rsidP="00660426">
      <w:pPr>
        <w:pStyle w:val="BodyText"/>
        <w:numPr>
          <w:ilvl w:val="0"/>
          <w:numId w:val="5"/>
        </w:numPr>
        <w:ind w:left="927"/>
        <w:rPr>
          <w:rFonts w:ascii="Arial" w:hAnsi="Arial" w:cs="Arial"/>
        </w:rPr>
      </w:pPr>
      <w:r w:rsidRPr="005630A1">
        <w:rPr>
          <w:rFonts w:ascii="Arial" w:hAnsi="Arial" w:cs="Arial"/>
        </w:rPr>
        <w:t xml:space="preserve">Document outcome of assessment and action taken. </w:t>
      </w:r>
    </w:p>
    <w:p w:rsidR="00660426" w:rsidRPr="005630A1" w:rsidRDefault="00660426" w:rsidP="00660426">
      <w:pPr>
        <w:pStyle w:val="BodyText"/>
        <w:numPr>
          <w:ilvl w:val="0"/>
          <w:numId w:val="5"/>
        </w:numPr>
        <w:ind w:left="927"/>
        <w:rPr>
          <w:rFonts w:ascii="Arial" w:hAnsi="Arial" w:cs="Arial"/>
        </w:rPr>
      </w:pPr>
      <w:r w:rsidRPr="005630A1">
        <w:rPr>
          <w:rFonts w:ascii="Arial" w:hAnsi="Arial" w:cs="Arial"/>
        </w:rPr>
        <w:t>Communicate outcome of assessment and review to radiation therapy treatment team.</w:t>
      </w:r>
    </w:p>
    <w:p w:rsidR="00660426" w:rsidRPr="005630A1" w:rsidRDefault="00660426" w:rsidP="00660426">
      <w:pPr>
        <w:pStyle w:val="BodyText"/>
        <w:ind w:left="1596"/>
        <w:rPr>
          <w:rFonts w:ascii="Arial" w:hAnsi="Arial" w:cs="Arial"/>
        </w:rPr>
      </w:pPr>
    </w:p>
    <w:p w:rsidR="00EC527D" w:rsidRDefault="00607931"/>
    <w:sectPr w:rsidR="00EC5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3593E"/>
    <w:multiLevelType w:val="hybridMultilevel"/>
    <w:tmpl w:val="FED6F3E0"/>
    <w:lvl w:ilvl="0" w:tplc="0C090001">
      <w:start w:val="1"/>
      <w:numFmt w:val="bullet"/>
      <w:lvlText w:val=""/>
      <w:lvlJc w:val="left"/>
      <w:pPr>
        <w:ind w:left="2316" w:hanging="360"/>
      </w:pPr>
      <w:rPr>
        <w:rFonts w:ascii="Symbol" w:hAnsi="Symbol" w:hint="default"/>
      </w:rPr>
    </w:lvl>
    <w:lvl w:ilvl="1" w:tplc="0C090003" w:tentative="1">
      <w:start w:val="1"/>
      <w:numFmt w:val="bullet"/>
      <w:lvlText w:val="o"/>
      <w:lvlJc w:val="left"/>
      <w:pPr>
        <w:ind w:left="3036" w:hanging="360"/>
      </w:pPr>
      <w:rPr>
        <w:rFonts w:ascii="Courier New" w:hAnsi="Courier New" w:cs="Courier New" w:hint="default"/>
      </w:rPr>
    </w:lvl>
    <w:lvl w:ilvl="2" w:tplc="0C090005" w:tentative="1">
      <w:start w:val="1"/>
      <w:numFmt w:val="bullet"/>
      <w:lvlText w:val=""/>
      <w:lvlJc w:val="left"/>
      <w:pPr>
        <w:ind w:left="3756" w:hanging="360"/>
      </w:pPr>
      <w:rPr>
        <w:rFonts w:ascii="Wingdings" w:hAnsi="Wingdings" w:hint="default"/>
      </w:rPr>
    </w:lvl>
    <w:lvl w:ilvl="3" w:tplc="0C090001" w:tentative="1">
      <w:start w:val="1"/>
      <w:numFmt w:val="bullet"/>
      <w:lvlText w:val=""/>
      <w:lvlJc w:val="left"/>
      <w:pPr>
        <w:ind w:left="4476" w:hanging="360"/>
      </w:pPr>
      <w:rPr>
        <w:rFonts w:ascii="Symbol" w:hAnsi="Symbol" w:hint="default"/>
      </w:rPr>
    </w:lvl>
    <w:lvl w:ilvl="4" w:tplc="0C090003" w:tentative="1">
      <w:start w:val="1"/>
      <w:numFmt w:val="bullet"/>
      <w:lvlText w:val="o"/>
      <w:lvlJc w:val="left"/>
      <w:pPr>
        <w:ind w:left="5196" w:hanging="360"/>
      </w:pPr>
      <w:rPr>
        <w:rFonts w:ascii="Courier New" w:hAnsi="Courier New" w:cs="Courier New" w:hint="default"/>
      </w:rPr>
    </w:lvl>
    <w:lvl w:ilvl="5" w:tplc="0C090005" w:tentative="1">
      <w:start w:val="1"/>
      <w:numFmt w:val="bullet"/>
      <w:lvlText w:val=""/>
      <w:lvlJc w:val="left"/>
      <w:pPr>
        <w:ind w:left="5916" w:hanging="360"/>
      </w:pPr>
      <w:rPr>
        <w:rFonts w:ascii="Wingdings" w:hAnsi="Wingdings" w:hint="default"/>
      </w:rPr>
    </w:lvl>
    <w:lvl w:ilvl="6" w:tplc="0C090001" w:tentative="1">
      <w:start w:val="1"/>
      <w:numFmt w:val="bullet"/>
      <w:lvlText w:val=""/>
      <w:lvlJc w:val="left"/>
      <w:pPr>
        <w:ind w:left="6636" w:hanging="360"/>
      </w:pPr>
      <w:rPr>
        <w:rFonts w:ascii="Symbol" w:hAnsi="Symbol" w:hint="default"/>
      </w:rPr>
    </w:lvl>
    <w:lvl w:ilvl="7" w:tplc="0C090003" w:tentative="1">
      <w:start w:val="1"/>
      <w:numFmt w:val="bullet"/>
      <w:lvlText w:val="o"/>
      <w:lvlJc w:val="left"/>
      <w:pPr>
        <w:ind w:left="7356" w:hanging="360"/>
      </w:pPr>
      <w:rPr>
        <w:rFonts w:ascii="Courier New" w:hAnsi="Courier New" w:cs="Courier New" w:hint="default"/>
      </w:rPr>
    </w:lvl>
    <w:lvl w:ilvl="8" w:tplc="0C090005" w:tentative="1">
      <w:start w:val="1"/>
      <w:numFmt w:val="bullet"/>
      <w:lvlText w:val=""/>
      <w:lvlJc w:val="left"/>
      <w:pPr>
        <w:ind w:left="8076" w:hanging="360"/>
      </w:pPr>
      <w:rPr>
        <w:rFonts w:ascii="Wingdings" w:hAnsi="Wingdings" w:hint="default"/>
      </w:rPr>
    </w:lvl>
  </w:abstractNum>
  <w:abstractNum w:abstractNumId="1" w15:restartNumberingAfterBreak="0">
    <w:nsid w:val="1CE10E7B"/>
    <w:multiLevelType w:val="multilevel"/>
    <w:tmpl w:val="6CD24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4C11DD"/>
    <w:multiLevelType w:val="hybridMultilevel"/>
    <w:tmpl w:val="1674A79E"/>
    <w:lvl w:ilvl="0" w:tplc="0C090001">
      <w:start w:val="1"/>
      <w:numFmt w:val="bullet"/>
      <w:lvlText w:val=""/>
      <w:lvlJc w:val="left"/>
      <w:pPr>
        <w:ind w:left="2316" w:hanging="360"/>
      </w:pPr>
      <w:rPr>
        <w:rFonts w:ascii="Symbol" w:hAnsi="Symbol" w:hint="default"/>
      </w:rPr>
    </w:lvl>
    <w:lvl w:ilvl="1" w:tplc="0C090003" w:tentative="1">
      <w:start w:val="1"/>
      <w:numFmt w:val="bullet"/>
      <w:lvlText w:val="o"/>
      <w:lvlJc w:val="left"/>
      <w:pPr>
        <w:ind w:left="3036" w:hanging="360"/>
      </w:pPr>
      <w:rPr>
        <w:rFonts w:ascii="Courier New" w:hAnsi="Courier New" w:cs="Courier New" w:hint="default"/>
      </w:rPr>
    </w:lvl>
    <w:lvl w:ilvl="2" w:tplc="0C090005" w:tentative="1">
      <w:start w:val="1"/>
      <w:numFmt w:val="bullet"/>
      <w:lvlText w:val=""/>
      <w:lvlJc w:val="left"/>
      <w:pPr>
        <w:ind w:left="3756" w:hanging="360"/>
      </w:pPr>
      <w:rPr>
        <w:rFonts w:ascii="Wingdings" w:hAnsi="Wingdings" w:hint="default"/>
      </w:rPr>
    </w:lvl>
    <w:lvl w:ilvl="3" w:tplc="0C090001" w:tentative="1">
      <w:start w:val="1"/>
      <w:numFmt w:val="bullet"/>
      <w:lvlText w:val=""/>
      <w:lvlJc w:val="left"/>
      <w:pPr>
        <w:ind w:left="4476" w:hanging="360"/>
      </w:pPr>
      <w:rPr>
        <w:rFonts w:ascii="Symbol" w:hAnsi="Symbol" w:hint="default"/>
      </w:rPr>
    </w:lvl>
    <w:lvl w:ilvl="4" w:tplc="0C090003" w:tentative="1">
      <w:start w:val="1"/>
      <w:numFmt w:val="bullet"/>
      <w:lvlText w:val="o"/>
      <w:lvlJc w:val="left"/>
      <w:pPr>
        <w:ind w:left="5196" w:hanging="360"/>
      </w:pPr>
      <w:rPr>
        <w:rFonts w:ascii="Courier New" w:hAnsi="Courier New" w:cs="Courier New" w:hint="default"/>
      </w:rPr>
    </w:lvl>
    <w:lvl w:ilvl="5" w:tplc="0C090005" w:tentative="1">
      <w:start w:val="1"/>
      <w:numFmt w:val="bullet"/>
      <w:lvlText w:val=""/>
      <w:lvlJc w:val="left"/>
      <w:pPr>
        <w:ind w:left="5916" w:hanging="360"/>
      </w:pPr>
      <w:rPr>
        <w:rFonts w:ascii="Wingdings" w:hAnsi="Wingdings" w:hint="default"/>
      </w:rPr>
    </w:lvl>
    <w:lvl w:ilvl="6" w:tplc="0C090001" w:tentative="1">
      <w:start w:val="1"/>
      <w:numFmt w:val="bullet"/>
      <w:lvlText w:val=""/>
      <w:lvlJc w:val="left"/>
      <w:pPr>
        <w:ind w:left="6636" w:hanging="360"/>
      </w:pPr>
      <w:rPr>
        <w:rFonts w:ascii="Symbol" w:hAnsi="Symbol" w:hint="default"/>
      </w:rPr>
    </w:lvl>
    <w:lvl w:ilvl="7" w:tplc="0C090003" w:tentative="1">
      <w:start w:val="1"/>
      <w:numFmt w:val="bullet"/>
      <w:lvlText w:val="o"/>
      <w:lvlJc w:val="left"/>
      <w:pPr>
        <w:ind w:left="7356" w:hanging="360"/>
      </w:pPr>
      <w:rPr>
        <w:rFonts w:ascii="Courier New" w:hAnsi="Courier New" w:cs="Courier New" w:hint="default"/>
      </w:rPr>
    </w:lvl>
    <w:lvl w:ilvl="8" w:tplc="0C090005" w:tentative="1">
      <w:start w:val="1"/>
      <w:numFmt w:val="bullet"/>
      <w:lvlText w:val=""/>
      <w:lvlJc w:val="left"/>
      <w:pPr>
        <w:ind w:left="8076" w:hanging="360"/>
      </w:pPr>
      <w:rPr>
        <w:rFonts w:ascii="Wingdings" w:hAnsi="Wingdings" w:hint="default"/>
      </w:rPr>
    </w:lvl>
  </w:abstractNum>
  <w:abstractNum w:abstractNumId="3" w15:restartNumberingAfterBreak="0">
    <w:nsid w:val="5AF244E9"/>
    <w:multiLevelType w:val="hybridMultilevel"/>
    <w:tmpl w:val="30BE6758"/>
    <w:lvl w:ilvl="0" w:tplc="84AE8A2C">
      <w:start w:val="1"/>
      <w:numFmt w:val="decimal"/>
      <w:lvlText w:val="%1."/>
      <w:lvlJc w:val="left"/>
      <w:pPr>
        <w:ind w:left="1560" w:hanging="360"/>
      </w:pPr>
      <w:rPr>
        <w:rFonts w:hint="default"/>
        <w:b/>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4" w15:restartNumberingAfterBreak="0">
    <w:nsid w:val="5C491655"/>
    <w:multiLevelType w:val="hybridMultilevel"/>
    <w:tmpl w:val="7E564F42"/>
    <w:lvl w:ilvl="0" w:tplc="A8184F7E">
      <w:start w:val="1"/>
      <w:numFmt w:val="decimal"/>
      <w:lvlText w:val="%1."/>
      <w:lvlJc w:val="left"/>
      <w:pPr>
        <w:ind w:left="1596" w:hanging="360"/>
      </w:pPr>
      <w:rPr>
        <w:rFonts w:hint="default"/>
        <w:b/>
      </w:rPr>
    </w:lvl>
    <w:lvl w:ilvl="1" w:tplc="0C090019" w:tentative="1">
      <w:start w:val="1"/>
      <w:numFmt w:val="lowerLetter"/>
      <w:lvlText w:val="%2."/>
      <w:lvlJc w:val="left"/>
      <w:pPr>
        <w:ind w:left="2316" w:hanging="360"/>
      </w:pPr>
    </w:lvl>
    <w:lvl w:ilvl="2" w:tplc="0C09001B" w:tentative="1">
      <w:start w:val="1"/>
      <w:numFmt w:val="lowerRoman"/>
      <w:lvlText w:val="%3."/>
      <w:lvlJc w:val="right"/>
      <w:pPr>
        <w:ind w:left="3036" w:hanging="180"/>
      </w:pPr>
    </w:lvl>
    <w:lvl w:ilvl="3" w:tplc="0C09000F" w:tentative="1">
      <w:start w:val="1"/>
      <w:numFmt w:val="decimal"/>
      <w:lvlText w:val="%4."/>
      <w:lvlJc w:val="left"/>
      <w:pPr>
        <w:ind w:left="3756" w:hanging="360"/>
      </w:pPr>
    </w:lvl>
    <w:lvl w:ilvl="4" w:tplc="0C090019" w:tentative="1">
      <w:start w:val="1"/>
      <w:numFmt w:val="lowerLetter"/>
      <w:lvlText w:val="%5."/>
      <w:lvlJc w:val="left"/>
      <w:pPr>
        <w:ind w:left="4476" w:hanging="360"/>
      </w:pPr>
    </w:lvl>
    <w:lvl w:ilvl="5" w:tplc="0C09001B" w:tentative="1">
      <w:start w:val="1"/>
      <w:numFmt w:val="lowerRoman"/>
      <w:lvlText w:val="%6."/>
      <w:lvlJc w:val="right"/>
      <w:pPr>
        <w:ind w:left="5196" w:hanging="180"/>
      </w:pPr>
    </w:lvl>
    <w:lvl w:ilvl="6" w:tplc="0C09000F" w:tentative="1">
      <w:start w:val="1"/>
      <w:numFmt w:val="decimal"/>
      <w:lvlText w:val="%7."/>
      <w:lvlJc w:val="left"/>
      <w:pPr>
        <w:ind w:left="5916" w:hanging="360"/>
      </w:pPr>
    </w:lvl>
    <w:lvl w:ilvl="7" w:tplc="0C090019" w:tentative="1">
      <w:start w:val="1"/>
      <w:numFmt w:val="lowerLetter"/>
      <w:lvlText w:val="%8."/>
      <w:lvlJc w:val="left"/>
      <w:pPr>
        <w:ind w:left="6636" w:hanging="360"/>
      </w:pPr>
    </w:lvl>
    <w:lvl w:ilvl="8" w:tplc="0C09001B" w:tentative="1">
      <w:start w:val="1"/>
      <w:numFmt w:val="lowerRoman"/>
      <w:lvlText w:val="%9."/>
      <w:lvlJc w:val="right"/>
      <w:pPr>
        <w:ind w:left="7356"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26"/>
    <w:rsid w:val="00607931"/>
    <w:rsid w:val="00660426"/>
    <w:rsid w:val="00772C9C"/>
    <w:rsid w:val="00AF2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6240D-CA3A-47FC-B76E-212D8583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660426"/>
    <w:pPr>
      <w:widowControl w:val="0"/>
      <w:autoSpaceDE w:val="0"/>
      <w:autoSpaceDN w:val="0"/>
      <w:adjustRightInd w:val="0"/>
      <w:spacing w:after="0" w:line="240" w:lineRule="auto"/>
      <w:ind w:left="1750" w:hanging="514"/>
      <w:outlineLvl w:val="1"/>
    </w:pPr>
    <w:rPr>
      <w:rFonts w:ascii="Verdana" w:eastAsia="Times New Roman" w:hAnsi="Verdana" w:cs="Verdana"/>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60426"/>
    <w:rPr>
      <w:rFonts w:ascii="Verdana" w:eastAsia="Times New Roman" w:hAnsi="Verdana" w:cs="Verdana"/>
      <w:b/>
      <w:bCs/>
      <w:sz w:val="24"/>
      <w:szCs w:val="24"/>
      <w:lang w:eastAsia="en-AU"/>
    </w:rPr>
  </w:style>
  <w:style w:type="paragraph" w:styleId="BodyText">
    <w:name w:val="Body Text"/>
    <w:basedOn w:val="Normal"/>
    <w:link w:val="BodyTextChar"/>
    <w:uiPriority w:val="1"/>
    <w:qFormat/>
    <w:rsid w:val="00660426"/>
    <w:pPr>
      <w:widowControl w:val="0"/>
      <w:autoSpaceDE w:val="0"/>
      <w:autoSpaceDN w:val="0"/>
      <w:adjustRightInd w:val="0"/>
      <w:spacing w:after="0" w:line="240" w:lineRule="auto"/>
    </w:pPr>
    <w:rPr>
      <w:rFonts w:ascii="Verdana" w:eastAsia="Times New Roman" w:hAnsi="Verdana" w:cs="Verdana"/>
      <w:sz w:val="20"/>
      <w:szCs w:val="20"/>
      <w:lang w:eastAsia="en-AU"/>
    </w:rPr>
  </w:style>
  <w:style w:type="character" w:customStyle="1" w:styleId="BodyTextChar">
    <w:name w:val="Body Text Char"/>
    <w:basedOn w:val="DefaultParagraphFont"/>
    <w:link w:val="BodyText"/>
    <w:uiPriority w:val="1"/>
    <w:rsid w:val="00660426"/>
    <w:rPr>
      <w:rFonts w:ascii="Verdana" w:eastAsia="Times New Roman" w:hAnsi="Verdana" w:cs="Verdana"/>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Cancer Institute NSW</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2019-05-15T00:52:00Z</dcterms:created>
  <dcterms:modified xsi:type="dcterms:W3CDTF">2019-05-15T04:00:00Z</dcterms:modified>
</cp:coreProperties>
</file>